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00" w:type="pct"/>
        <w:tblCellSpacing w:w="15" w:type="dxa"/>
        <w:shd w:val="clear" w:color="auto" w:fill="FAE4C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2"/>
      </w:tblGrid>
      <w:tr w:rsidR="00EA1990" w:rsidRPr="00EA1990" w:rsidTr="00EA1990">
        <w:trPr>
          <w:trHeight w:val="15"/>
          <w:tblCellSpacing w:w="15" w:type="dxa"/>
        </w:trPr>
        <w:tc>
          <w:tcPr>
            <w:tcW w:w="5000" w:type="pct"/>
            <w:shd w:val="clear" w:color="auto" w:fill="FAE4CE"/>
            <w:vAlign w:val="center"/>
            <w:hideMark/>
          </w:tcPr>
          <w:p w:rsidR="00EA1990" w:rsidRPr="00EA1990" w:rsidRDefault="00EA1990" w:rsidP="00EA1990">
            <w:pPr>
              <w:widowControl/>
              <w:spacing w:before="100" w:beforeAutospacing="1" w:after="100" w:afterAutospacing="1" w:line="408" w:lineRule="atLeast"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云何依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此三性，而立彼三無性耶？」</w:t>
            </w:r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</w:t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 xml:space="preserve">　</w:t>
            </w:r>
          </w:p>
        </w:tc>
      </w:tr>
      <w:tr w:rsidR="00EA1990" w:rsidRPr="00EA1990" w:rsidTr="00EA1990">
        <w:trPr>
          <w:trHeight w:val="15"/>
          <w:tblCellSpacing w:w="15" w:type="dxa"/>
        </w:trPr>
        <w:tc>
          <w:tcPr>
            <w:tcW w:w="5000" w:type="pct"/>
            <w:shd w:val="clear" w:color="auto" w:fill="FAE4CE"/>
            <w:vAlign w:val="center"/>
            <w:hideMark/>
          </w:tcPr>
          <w:p w:rsidR="00EA1990" w:rsidRPr="00EA1990" w:rsidRDefault="00EA1990" w:rsidP="00EA1990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EA1990">
              <w:rPr>
                <w:rFonts w:ascii="Times New Roman" w:eastAsia="新細明體" w:hAnsi="Times New Roman" w:cs="Times New Roman"/>
                <w:kern w:val="0"/>
                <w:szCs w:val="24"/>
              </w:rPr>
              <w:t> </w:t>
            </w:r>
            <w:r w:rsidRPr="00EA1990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  <w:r w:rsidRPr="00EA1990">
              <w:rPr>
                <w:rFonts w:ascii="Times New Roman" w:eastAsia="新細明體" w:hAnsi="Times New Roman" w:cs="Times New Roman"/>
                <w:kern w:val="0"/>
                <w:szCs w:val="24"/>
              </w:rPr>
              <w:t>     </w:t>
            </w:r>
            <w:r>
              <w:rPr>
                <w:rFonts w:ascii="Times New Roman" w:eastAsia="新細明體" w:hAnsi="Times New Roman" w:cs="Times New Roman"/>
                <w:noProof/>
                <w:kern w:val="0"/>
                <w:szCs w:val="24"/>
              </w:rPr>
              <w:drawing>
                <wp:inline distT="0" distB="0" distL="0" distR="0">
                  <wp:extent cx="3695700" cy="1000125"/>
                  <wp:effectExtent l="0" t="0" r="0" b="9525"/>
                  <wp:docPr id="6" name="圖片 6" descr="http://www.minlun.org.tw/old/338/p338/pt338-4-1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inlun.org.tw/old/338/p338/pt338-4-1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990" w:rsidRPr="00EA1990" w:rsidRDefault="00EA1990" w:rsidP="00EA1990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EA1990">
              <w:rPr>
                <w:rFonts w:ascii="Times New Roman" w:eastAsia="新細明體" w:hAnsi="Times New Roman" w:cs="Times New Roman"/>
                <w:kern w:val="0"/>
                <w:szCs w:val="24"/>
              </w:rPr>
              <w:t>          </w:t>
            </w:r>
            <w:r>
              <w:rPr>
                <w:rFonts w:ascii="Times New Roman" w:eastAsia="新細明體" w:hAnsi="Times New Roman" w:cs="Times New Roman"/>
                <w:noProof/>
                <w:kern w:val="0"/>
                <w:szCs w:val="24"/>
              </w:rPr>
              <w:drawing>
                <wp:inline distT="0" distB="0" distL="0" distR="0">
                  <wp:extent cx="4133850" cy="752475"/>
                  <wp:effectExtent l="0" t="0" r="0" b="9525"/>
                  <wp:docPr id="5" name="圖片 5" descr="http://www.minlun.org.tw/old/338/p338/pt338-4-1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inlun.org.tw/old/338/p338/pt338-4-1-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990" w:rsidRPr="00EA1990" w:rsidRDefault="00EA1990" w:rsidP="00EA1990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EA1990">
              <w:rPr>
                <w:rFonts w:ascii="Times New Roman" w:eastAsia="新細明體" w:hAnsi="Times New Roman" w:cs="Times New Roman"/>
                <w:kern w:val="0"/>
                <w:szCs w:val="24"/>
              </w:rPr>
              <w:t>          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AE4CE"/>
              </w:rPr>
              <w:t> </w:t>
            </w:r>
            <w:r>
              <w:rPr>
                <w:noProof/>
              </w:rPr>
              <w:drawing>
                <wp:inline distT="0" distB="0" distL="0" distR="0">
                  <wp:extent cx="3776980" cy="810895"/>
                  <wp:effectExtent l="0" t="0" r="0" b="0"/>
                  <wp:docPr id="7" name="圖片 7" descr="http://www.minlun.org.tw/old/338/p338/pt338-4-1-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minlun.org.tw/old/338/p338/pt338-4-1-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698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990" w:rsidRPr="00EA1990" w:rsidRDefault="00EA1990" w:rsidP="00EA1990">
            <w:pPr>
              <w:widowControl/>
              <w:spacing w:before="100" w:beforeAutospacing="1" w:after="100" w:afterAutospacing="1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EA1990">
              <w:rPr>
                <w:rFonts w:ascii="Times New Roman" w:eastAsia="新細明體" w:hAnsi="Times New Roman" w:cs="Times New Roman"/>
                <w:kern w:val="0"/>
                <w:szCs w:val="24"/>
              </w:rPr>
              <w:t>          </w:t>
            </w:r>
          </w:p>
        </w:tc>
        <w:bookmarkStart w:id="0" w:name="_GoBack"/>
        <w:bookmarkEnd w:id="0"/>
      </w:tr>
      <w:tr w:rsidR="00EA1990" w:rsidRPr="00EA1990" w:rsidTr="00EA1990">
        <w:trPr>
          <w:trHeight w:val="15"/>
          <w:tblCellSpacing w:w="15" w:type="dxa"/>
        </w:trPr>
        <w:tc>
          <w:tcPr>
            <w:tcW w:w="5000" w:type="pct"/>
            <w:shd w:val="clear" w:color="auto" w:fill="FAE4CE"/>
            <w:vAlign w:val="center"/>
          </w:tcPr>
          <w:p w:rsidR="00EA1990" w:rsidRPr="00EA1990" w:rsidRDefault="00EA1990" w:rsidP="00EA1990">
            <w:pPr>
              <w:widowControl/>
              <w:spacing w:before="100" w:beforeAutospacing="1" w:after="100" w:afterAutospacing="1" w:line="15" w:lineRule="atLeas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EA1990" w:rsidRPr="00EA1990" w:rsidTr="00EA1990">
        <w:trPr>
          <w:trHeight w:val="15"/>
          <w:tblCellSpacing w:w="15" w:type="dxa"/>
        </w:trPr>
        <w:tc>
          <w:tcPr>
            <w:tcW w:w="5000" w:type="pct"/>
            <w:shd w:val="clear" w:color="auto" w:fill="FAE4CE"/>
            <w:vAlign w:val="center"/>
          </w:tcPr>
          <w:p w:rsidR="00EA1990" w:rsidRPr="00EA1990" w:rsidRDefault="00EA1990" w:rsidP="00EA1990">
            <w:pPr>
              <w:widowControl/>
              <w:spacing w:before="100" w:beforeAutospacing="1" w:after="100" w:afterAutospacing="1" w:line="15" w:lineRule="atLeas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EA1990" w:rsidRPr="00EA1990" w:rsidTr="00EA1990">
        <w:trPr>
          <w:trHeight w:val="15"/>
          <w:tblCellSpacing w:w="15" w:type="dxa"/>
        </w:trPr>
        <w:tc>
          <w:tcPr>
            <w:tcW w:w="5000" w:type="pct"/>
            <w:shd w:val="clear" w:color="auto" w:fill="FAE4CE"/>
            <w:vAlign w:val="center"/>
            <w:hideMark/>
          </w:tcPr>
          <w:p w:rsidR="00EA1990" w:rsidRPr="00EA1990" w:rsidRDefault="00EA1990" w:rsidP="00643F82">
            <w:pPr>
              <w:widowControl/>
              <w:spacing w:before="100" w:beforeAutospacing="1" w:after="100" w:afterAutospacing="1" w:line="408" w:lineRule="atLeast"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          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（一）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初性體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無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</w:t>
            </w:r>
            <w:r w:rsidRPr="00EA1990">
              <w:rPr>
                <w:rFonts w:ascii="Times New Roman" w:eastAsia="新細明體" w:hAnsi="Times New Roman" w:cs="Times New Roman"/>
                <w:b/>
                <w:color w:val="C00000"/>
                <w:kern w:val="0"/>
                <w:szCs w:val="24"/>
              </w:rPr>
              <w:t>    </w:t>
            </w:r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依初「遍計所執性」，立「相無性」者，乃是因為「遍計所執性」，體相都無故。</w:t>
            </w:r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成唯識論卷九云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：「依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此初遍計所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執，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立相無性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，由此體相，畢竟非有，如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空華故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。」空中原無華，然因眼中有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翳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故，常於空中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妄見幻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化之華；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此喻「遍計所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執」相，本無實體，由於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妄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見而起錯覺，以為實有，故於自身中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妄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見有一常住之我相，或於一切萬物中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妄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見有不變之法相，此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於迷心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之前所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妄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現之我法相，名為「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當前現相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」，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此若約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真理言之，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則體相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都無。以「情有理無」故，依之建立「相無性」。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又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解深密經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無自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性相品載世尊云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：「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云何諸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法『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相無自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性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性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』？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謂諸法遍計所執相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，何以故？此由假名安立為相，非由自相安立為相，是故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說名『相無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自性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性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』。」意即「相無性」即是「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遍計所執相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」，何以故？因為諸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lastRenderedPageBreak/>
              <w:t>法之「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遍計所執相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」，乃是由世俗之名言假說此法如何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如何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，由此建立此法之相（此釋「相」），並非由此法本身如何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如何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，而建立此法之相（此釋「無性」）。故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云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諸法之「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遍計所執相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」，乃「情有理無」之法，故名「相無性」。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（二）後二密說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</w:t>
            </w:r>
            <w:r w:rsidRPr="00EA1990">
              <w:rPr>
                <w:rFonts w:ascii="Times New Roman" w:eastAsia="新細明體" w:hAnsi="Times New Roman" w:cs="Times New Roman"/>
                <w:b/>
                <w:color w:val="C00000"/>
                <w:kern w:val="0"/>
                <w:szCs w:val="24"/>
              </w:rPr>
              <w:t> </w:t>
            </w:r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依次「依他起性」，立「生無性」；及依後「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圓成實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性」立「勝義無性」，乃是佛「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密意說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」，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即佛為遮遣「愚夫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」（外道及二乘人）於依圓二性增益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妄執為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實有，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佛才善巧方便宣說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後二為「無性」。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（1）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釋依他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無性</w:t>
            </w:r>
            <w:r w:rsidRPr="00EA1990">
              <w:rPr>
                <w:rFonts w:ascii="細明體" w:eastAsia="細明體" w:hAnsi="細明體" w:cs="Times New Roman"/>
                <w:b/>
                <w:spacing w:val="-15"/>
                <w:kern w:val="0"/>
                <w:szCs w:val="24"/>
              </w:rPr>
              <w:t> ── 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謂依他起法，從四緣生，譬如幻師所作幻事，託眾緣起，非如外道妄執諸法是自然所生之自然性故。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成唯識論掌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中樞要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卷下末云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：「依他起，無自然生者，自然有二：」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一、無因自然生 </w:t>
            </w:r>
            <w:r w:rsidRPr="00EA1990">
              <w:rPr>
                <w:rFonts w:ascii="細明體" w:eastAsia="細明體" w:hAnsi="細明體" w:cs="Times New Roman"/>
                <w:b/>
                <w:spacing w:val="-15"/>
                <w:kern w:val="0"/>
                <w:szCs w:val="24"/>
              </w:rPr>
              <w:t>── 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如古印度「無因外道」，主張萬物係無因無緣，自然而生，如棘刺之針，不待人作而自尖；孔雀無待人畫色而自然美；烏從來自然是黑，非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是染造而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黑；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鵠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從來自然是白，非是洗成而白；又如火上、水下、風輕、地重等，並無有因，自然而生。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  <w:t>    二、以自然為因生</w:t>
            </w:r>
            <w:r w:rsidRPr="00EA1990">
              <w:rPr>
                <w:rFonts w:ascii="細明體" w:eastAsia="細明體" w:hAnsi="細明體" w:cs="Times New Roman"/>
                <w:b/>
                <w:spacing w:val="-15"/>
                <w:kern w:val="0"/>
                <w:szCs w:val="24"/>
              </w:rPr>
              <w:t> ── 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如古印度數論派將宇宙萬有區別為二十五種諦理，而以「冥性」（亦名「自性」、「冥諦」、「冥初」等）為第一諦，為萬物之本源，諸法之始，故亦稱「冥初」；又為諸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法生滅變異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之根本原因，即為諸法之實性，故又稱「自性」，此即以自然為因而生之例。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為破除上述二種外道之「自然生性」，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佛遂假說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「依他無性」，但並非「依他起」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性體全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無也。</w:t>
            </w:r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故論卷九云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：「依次依他，立生無性，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此如幻事，託眾緣生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，無如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妄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執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自然性故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，假說無性，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非性全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無。」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又解深密經無自性相品載世尊云：「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云何諸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法『生無自性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性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』？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謂諸法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依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他起相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，何以故？由此依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他緣力故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有，非自然有，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是故說名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『生無自性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性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』」。意即：「生無性」即是「依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他起相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」，何以故？因為諸法之「依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lastRenderedPageBreak/>
              <w:t>他起相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」，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乃是由依他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因緣之力而存在（此釋「生」），並非自然無因而生，亦非以「自然」為因而生（此釋「無性」），故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云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諸法之「依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他起相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」為「生無性」。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</w:t>
            </w:r>
            <w:r w:rsidRPr="00EA1990">
              <w:rPr>
                <w:rFonts w:ascii="Times New Roman" w:eastAsia="新細明體" w:hAnsi="Times New Roman" w:cs="Times New Roman"/>
                <w:b/>
                <w:color w:val="C00000"/>
                <w:kern w:val="0"/>
                <w:szCs w:val="24"/>
              </w:rPr>
              <w:t>  </w:t>
            </w:r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（2）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釋勝義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無性 </w:t>
            </w:r>
            <w:r w:rsidRPr="00EA1990">
              <w:rPr>
                <w:rFonts w:ascii="細明體" w:eastAsia="細明體" w:hAnsi="細明體" w:cs="Times New Roman"/>
                <w:b/>
                <w:color w:val="C00000"/>
                <w:spacing w:val="-15"/>
                <w:kern w:val="0"/>
                <w:szCs w:val="24"/>
              </w:rPr>
              <w:t>── </w:t>
            </w:r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t>謂圓成實，即是「勝義」（又作「第一義」，指勝於世間世俗義之最勝真實道理）因為是遠離前面「遍計所執」實我實法故，假說「勝義無性」，但並非「圓成實」性體全無也。</w:t>
            </w:r>
            <w:r w:rsidRPr="00EA1990">
              <w:rPr>
                <w:rFonts w:ascii="細明體" w:eastAsia="細明體" w:hAnsi="細明體" w:cs="Times New Roman"/>
                <w:b/>
                <w:color w:val="C00000"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譬如太虛空，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雖遍眾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色，卻由眾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色斷滅處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之所顯現，今「勝義」亦然，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雖遍依他起諸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法，且為依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他起諸法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所依之體，卻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由依他起諸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法上斷絕所執我法相之所顯現，故名「勝義無性」。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故論卷九云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：「依後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圓成實，立勝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義無性，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謂即勝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義，由遠離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前遍計所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執我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法性故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，假說無性，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非性全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無；如太虛空，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雖遍眾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色，而是眾色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無性所顯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。」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唯識心要卷九釋云：「如太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虛空喻『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勝義』也，眾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色喻『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依他』也；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有眾色處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，未嘗無空，可喻『真如』遍一切法，無所不在。眾色無處，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太虛乃顯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，可喻『真如』遠離『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遍計所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執我法』。」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又解深密經無自性相品載世尊云：「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云何諸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法『勝義無自性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性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』？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謂諸法圓成實相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，何以故？一切諸法，法無我性，名為勝義，亦得名為無自性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性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，是一切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法勝義諦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故，無自性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性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之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所顯故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，由此因緣名為『勝義無自性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性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』。」意即「勝義無性」即是「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圓成實相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」，何以故？因為一切諸法之「法無我性」（諸法緣生，實無自性實體），稱為「勝義」（第一義），亦可稱為「無自性」（無實有之自體），此義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云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何？「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圓成實相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」是一切諸法中之</w:t>
            </w:r>
            <w:proofErr w:type="gramStart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深妙無上之</w:t>
            </w:r>
            <w:proofErr w:type="gramEnd"/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t>真理故（此釋「勝義」），是遠離常住之實我相、不變之實法相所顯現之真理故（此釋「無性」），名之為「勝義無性」。</w:t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   </w:t>
            </w:r>
            <w:r w:rsidRPr="00EA1990">
              <w:rPr>
                <w:rFonts w:ascii="細明體" w:eastAsia="細明體" w:hAnsi="細明體" w:cs="Times New Roman"/>
                <w:b/>
                <w:spacing w:val="45"/>
                <w:kern w:val="0"/>
                <w:szCs w:val="24"/>
              </w:rPr>
              <w:br/>
            </w:r>
            <w:r w:rsidRPr="00EA199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       </w:t>
            </w:r>
          </w:p>
        </w:tc>
      </w:tr>
      <w:tr w:rsidR="00EA1990" w:rsidRPr="00EA1990" w:rsidTr="00EA1990">
        <w:trPr>
          <w:trHeight w:val="15"/>
          <w:tblCellSpacing w:w="15" w:type="dxa"/>
        </w:trPr>
        <w:tc>
          <w:tcPr>
            <w:tcW w:w="5000" w:type="pct"/>
            <w:shd w:val="clear" w:color="auto" w:fill="FAE4CE"/>
            <w:vAlign w:val="center"/>
            <w:hideMark/>
          </w:tcPr>
          <w:p w:rsidR="00EA1990" w:rsidRPr="00EA1990" w:rsidRDefault="00EA1990" w:rsidP="00EA1990">
            <w:pPr>
              <w:widowControl/>
              <w:spacing w:line="15" w:lineRule="atLeas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EA1990">
              <w:rPr>
                <w:rFonts w:ascii="Times New Roman" w:eastAsia="新細明體" w:hAnsi="Times New Roman" w:cs="Times New Roman"/>
                <w:kern w:val="0"/>
                <w:szCs w:val="24"/>
              </w:rPr>
              <w:lastRenderedPageBreak/>
              <w:t>        </w:t>
            </w:r>
            <w:r>
              <w:rPr>
                <w:rFonts w:ascii="Times New Roman" w:eastAsia="新細明體" w:hAnsi="Times New Roman" w:cs="Times New Roman"/>
                <w:noProof/>
                <w:kern w:val="0"/>
                <w:szCs w:val="24"/>
              </w:rPr>
              <w:drawing>
                <wp:inline distT="0" distB="0" distL="0" distR="0">
                  <wp:extent cx="2971800" cy="809625"/>
                  <wp:effectExtent l="0" t="0" r="0" b="0"/>
                  <wp:docPr id="1" name="圖片 1" descr="http://www.minlun.org.tw/old/338/p338/pt338-4-1-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minlun.org.tw/old/338/p338/pt338-4-1-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0E22" w:rsidRDefault="00B913F7"/>
    <w:sectPr w:rsidR="00880E2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90"/>
    <w:rsid w:val="00177C9B"/>
    <w:rsid w:val="00643F82"/>
    <w:rsid w:val="00B110ED"/>
    <w:rsid w:val="00B913F7"/>
    <w:rsid w:val="00EA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A199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EA1990"/>
  </w:style>
  <w:style w:type="paragraph" w:styleId="a3">
    <w:name w:val="Balloon Text"/>
    <w:basedOn w:val="a"/>
    <w:link w:val="a4"/>
    <w:uiPriority w:val="99"/>
    <w:semiHidden/>
    <w:unhideWhenUsed/>
    <w:rsid w:val="00EA19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A199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A199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EA1990"/>
  </w:style>
  <w:style w:type="paragraph" w:styleId="a3">
    <w:name w:val="Balloon Text"/>
    <w:basedOn w:val="a"/>
    <w:link w:val="a4"/>
    <w:uiPriority w:val="99"/>
    <w:semiHidden/>
    <w:unhideWhenUsed/>
    <w:rsid w:val="00EA19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A19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1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2014-10-27T14:50:00Z</dcterms:created>
  <dcterms:modified xsi:type="dcterms:W3CDTF">2014-10-27T14:50:00Z</dcterms:modified>
</cp:coreProperties>
</file>