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35" w:rsidRPr="007A3DCC" w:rsidRDefault="00E50C35" w:rsidP="00B441FF">
      <w:pPr>
        <w:pStyle w:val="style11"/>
        <w:spacing w:line="400" w:lineRule="atLeast"/>
        <w:ind w:firstLine="480"/>
        <w:jc w:val="both"/>
        <w:rPr>
          <w:rFonts w:ascii="Times New Roman" w:hAnsi="Times New Roman" w:cs="Times New Roman"/>
          <w:b/>
          <w:color w:val="C00000"/>
          <w:sz w:val="27"/>
          <w:szCs w:val="27"/>
        </w:rPr>
      </w:pPr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八忍八智之十六心</w:t>
      </w:r>
    </w:p>
    <w:p w:rsidR="00B441FF" w:rsidRPr="007A3DCC" w:rsidRDefault="00B441FF" w:rsidP="00B441FF">
      <w:pPr>
        <w:pStyle w:val="style11"/>
        <w:spacing w:line="400" w:lineRule="atLeast"/>
        <w:ind w:firstLine="480"/>
        <w:jc w:val="both"/>
        <w:rPr>
          <w:rFonts w:ascii="Times New Roman" w:hAnsi="Times New Roman" w:cs="Times New Roman"/>
          <w:b/>
          <w:color w:val="000080"/>
          <w:sz w:val="27"/>
          <w:szCs w:val="27"/>
        </w:rPr>
      </w:pPr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在一切有部，</w:t>
      </w:r>
      <w:proofErr w:type="gramStart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現觀見道苦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、集、滅、道四</w:t>
      </w:r>
      <w:proofErr w:type="gramStart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諦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之</w:t>
      </w:r>
      <w:proofErr w:type="gramStart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無漏智有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二種，即</w:t>
      </w:r>
      <w:proofErr w:type="gramStart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能斷見惑之無間道智與證斷四諦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真理之</w:t>
      </w:r>
      <w:proofErr w:type="gramStart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解脫道智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。以其所觀察之對象，復可分為八忍八智之十六心，即：</w:t>
      </w:r>
    </w:p>
    <w:p w:rsidR="00B441FF" w:rsidRPr="007A3DCC" w:rsidRDefault="00B441FF" w:rsidP="00B441FF">
      <w:pPr>
        <w:pStyle w:val="style11"/>
        <w:spacing w:line="400" w:lineRule="atLeast"/>
        <w:ind w:firstLine="480"/>
        <w:jc w:val="both"/>
        <w:rPr>
          <w:rFonts w:ascii="Times New Roman" w:hAnsi="Times New Roman" w:cs="Times New Roman"/>
          <w:b/>
          <w:color w:val="000080"/>
          <w:sz w:val="27"/>
          <w:szCs w:val="27"/>
        </w:rPr>
      </w:pPr>
      <w:proofErr w:type="gramStart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觀</w:t>
      </w:r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欲界苦諦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所得之</w:t>
      </w:r>
      <w:proofErr w:type="gramStart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苦法智忍</w:t>
      </w:r>
      <w:proofErr w:type="gramEnd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（無間道之智）、</w:t>
      </w:r>
      <w:proofErr w:type="gramStart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苦法智</w:t>
      </w:r>
      <w:proofErr w:type="gramEnd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（解脫道之智）</w:t>
      </w:r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，</w:t>
      </w:r>
      <w:proofErr w:type="gramStart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觀</w:t>
      </w:r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色界</w:t>
      </w:r>
      <w:proofErr w:type="gramEnd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、無色界苦</w:t>
      </w:r>
      <w:proofErr w:type="gramStart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諦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所得之</w:t>
      </w:r>
      <w:proofErr w:type="gramStart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苦類智忍、苦類智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；</w:t>
      </w:r>
    </w:p>
    <w:p w:rsidR="00B441FF" w:rsidRPr="007A3DCC" w:rsidRDefault="00B441FF" w:rsidP="00B441FF">
      <w:pPr>
        <w:pStyle w:val="style11"/>
        <w:spacing w:line="400" w:lineRule="atLeast"/>
        <w:ind w:firstLine="480"/>
        <w:jc w:val="both"/>
        <w:rPr>
          <w:rFonts w:ascii="Times New Roman" w:hAnsi="Times New Roman" w:cs="Times New Roman"/>
          <w:b/>
          <w:color w:val="C00000"/>
          <w:sz w:val="27"/>
          <w:szCs w:val="27"/>
        </w:rPr>
      </w:pPr>
      <w:proofErr w:type="gramStart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觀</w:t>
      </w:r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欲界集諦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所得之</w:t>
      </w:r>
      <w:proofErr w:type="gramStart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集法智忍、集法智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，觀</w:t>
      </w:r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上二界集</w:t>
      </w:r>
      <w:proofErr w:type="gramStart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諦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所得之</w:t>
      </w:r>
      <w:proofErr w:type="gramStart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集類智忍、集類智</w:t>
      </w:r>
      <w:proofErr w:type="gramEnd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；</w:t>
      </w:r>
    </w:p>
    <w:p w:rsidR="00B441FF" w:rsidRPr="007A3DCC" w:rsidRDefault="00B441FF" w:rsidP="00B441FF">
      <w:pPr>
        <w:pStyle w:val="style11"/>
        <w:spacing w:line="400" w:lineRule="atLeast"/>
        <w:ind w:firstLine="480"/>
        <w:jc w:val="both"/>
        <w:rPr>
          <w:rFonts w:ascii="Times New Roman" w:hAnsi="Times New Roman" w:cs="Times New Roman"/>
          <w:b/>
          <w:color w:val="C00000"/>
          <w:sz w:val="27"/>
          <w:szCs w:val="27"/>
        </w:rPr>
      </w:pPr>
      <w:proofErr w:type="gramStart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觀</w:t>
      </w:r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欲界滅諦</w:t>
      </w:r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所得之</w:t>
      </w:r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滅法智忍、滅法智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，觀</w:t>
      </w:r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上二界滅</w:t>
      </w:r>
      <w:proofErr w:type="gramStart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諦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所得</w:t>
      </w:r>
      <w:proofErr w:type="gramStart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之</w:t>
      </w:r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滅類智忍、滅類智</w:t>
      </w:r>
      <w:proofErr w:type="gramEnd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；</w:t>
      </w:r>
    </w:p>
    <w:p w:rsidR="00B441FF" w:rsidRPr="007A3DCC" w:rsidRDefault="00B441FF" w:rsidP="00B441FF">
      <w:pPr>
        <w:pStyle w:val="style11"/>
        <w:spacing w:line="400" w:lineRule="atLeast"/>
        <w:ind w:firstLine="480"/>
        <w:jc w:val="both"/>
        <w:rPr>
          <w:rFonts w:ascii="Times New Roman" w:hAnsi="Times New Roman" w:cs="Times New Roman"/>
          <w:b/>
          <w:color w:val="C00000"/>
          <w:sz w:val="27"/>
          <w:szCs w:val="27"/>
        </w:rPr>
      </w:pPr>
      <w:proofErr w:type="gramStart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觀</w:t>
      </w:r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欲界道諦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所得之</w:t>
      </w:r>
      <w:proofErr w:type="gramStart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道法智忍</w:t>
      </w:r>
      <w:proofErr w:type="gramEnd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、道法智</w:t>
      </w:r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，觀</w:t>
      </w:r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上二界道</w:t>
      </w:r>
      <w:proofErr w:type="gramStart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諦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所得之</w:t>
      </w:r>
      <w:proofErr w:type="gramStart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道類智忍、道類智</w:t>
      </w:r>
      <w:proofErr w:type="gramEnd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。</w:t>
      </w:r>
    </w:p>
    <w:p w:rsidR="00B441FF" w:rsidRPr="007A3DCC" w:rsidRDefault="00B441FF" w:rsidP="00B441FF">
      <w:pPr>
        <w:pStyle w:val="style11"/>
        <w:spacing w:line="400" w:lineRule="atLeast"/>
        <w:ind w:firstLine="480"/>
        <w:jc w:val="both"/>
        <w:rPr>
          <w:rFonts w:ascii="Times New Roman" w:hAnsi="Times New Roman" w:cs="Times New Roman"/>
          <w:b/>
          <w:color w:val="000080"/>
          <w:sz w:val="27"/>
          <w:szCs w:val="27"/>
        </w:rPr>
      </w:pPr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以此十六心（剎那）現觀</w:t>
      </w:r>
      <w:proofErr w:type="gramStart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諦</w:t>
      </w:r>
      <w:proofErr w:type="gramEnd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理，稱為聖</w:t>
      </w:r>
      <w:proofErr w:type="gramStart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諦現觀</w:t>
      </w:r>
      <w:proofErr w:type="gramEnd"/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。其中以前十五心屬於見道，特稱見道十五心；</w:t>
      </w:r>
      <w:proofErr w:type="gramStart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道類智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已一度</w:t>
      </w:r>
      <w:proofErr w:type="gramStart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觀遍四諦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法，故屬於修道之範圍。對於三界九地</w:t>
      </w:r>
      <w:proofErr w:type="gramStart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之修惑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，修道各分上上品、上中品，乃至下下品等九品，合為八十一品，乃指</w:t>
      </w:r>
      <w:proofErr w:type="gramStart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斷修惑之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修道過程。對於次第證者而言，</w:t>
      </w:r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見道為預流向，故於第十六心（道類智）證初果（預流果）；</w:t>
      </w:r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然</w:t>
      </w:r>
      <w:proofErr w:type="gramStart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對異生位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（凡夫位）之超越證者而言，彼等以</w:t>
      </w:r>
      <w:proofErr w:type="gramStart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世俗智修有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漏之六行觀，業已斷</w:t>
      </w:r>
      <w:proofErr w:type="gramStart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除修惑之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一部分，故應其程度可於第十六心證</w:t>
      </w:r>
      <w:proofErr w:type="gramStart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得初果</w:t>
      </w:r>
      <w:proofErr w:type="gramEnd"/>
      <w:r w:rsidRPr="007A3DCC">
        <w:rPr>
          <w:rFonts w:ascii="Times New Roman" w:hAnsi="Times New Roman" w:cs="Times New Roman"/>
          <w:b/>
          <w:color w:val="000000"/>
          <w:sz w:val="27"/>
          <w:szCs w:val="27"/>
        </w:rPr>
        <w:t>、第二果（一來果），或第三果（不還果）。</w:t>
      </w:r>
      <w:r w:rsidRPr="007A3DCC">
        <w:rPr>
          <w:rFonts w:ascii="Times New Roman" w:hAnsi="Times New Roman" w:cs="Times New Roman"/>
          <w:b/>
          <w:color w:val="C00000"/>
          <w:sz w:val="27"/>
          <w:szCs w:val="27"/>
        </w:rPr>
        <w:t>修道，則指以上之果位乃至阿羅漢向之間之階段。</w:t>
      </w:r>
    </w:p>
    <w:p w:rsidR="00880E22" w:rsidRPr="007A3DCC" w:rsidRDefault="007A3DCC">
      <w:pPr>
        <w:rPr>
          <w:b/>
        </w:rPr>
      </w:pPr>
      <w:r w:rsidRPr="00A12BEC">
        <w:rPr>
          <w:rFonts w:ascii="新細明體" w:eastAsia="新細明體" w:hAnsi="新細明體" w:cs="新細明體"/>
          <w:b/>
          <w:noProof/>
          <w:color w:val="000000" w:themeColor="text1"/>
          <w:kern w:val="0"/>
          <w:sz w:val="22"/>
        </w:rPr>
        <w:drawing>
          <wp:inline distT="0" distB="0" distL="0" distR="0" wp14:anchorId="43DC6C08" wp14:editId="7A293FC0">
            <wp:extent cx="5041900" cy="1619250"/>
            <wp:effectExtent l="0" t="0" r="6350" b="0"/>
            <wp:docPr id="2" name="圖片 2" descr="http://www.minlun.org.tw/old/360/p360/pt360-4-2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inlun.org.tw/old/360/p360/pt360-4-2-3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80E22" w:rsidRPr="007A3DC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1FF"/>
    <w:rsid w:val="00177C9B"/>
    <w:rsid w:val="007A3DCC"/>
    <w:rsid w:val="00B110ED"/>
    <w:rsid w:val="00B441FF"/>
    <w:rsid w:val="00E5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rsid w:val="00B441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style13">
    <w:name w:val="style13"/>
    <w:basedOn w:val="a0"/>
    <w:rsid w:val="00B441FF"/>
  </w:style>
  <w:style w:type="paragraph" w:styleId="a3">
    <w:name w:val="Balloon Text"/>
    <w:basedOn w:val="a"/>
    <w:link w:val="a4"/>
    <w:uiPriority w:val="99"/>
    <w:semiHidden/>
    <w:unhideWhenUsed/>
    <w:rsid w:val="007A3D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A3DC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rsid w:val="00B441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style13">
    <w:name w:val="style13"/>
    <w:basedOn w:val="a0"/>
    <w:rsid w:val="00B441FF"/>
  </w:style>
  <w:style w:type="paragraph" w:styleId="a3">
    <w:name w:val="Balloon Text"/>
    <w:basedOn w:val="a"/>
    <w:link w:val="a4"/>
    <w:uiPriority w:val="99"/>
    <w:semiHidden/>
    <w:unhideWhenUsed/>
    <w:rsid w:val="007A3D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A3D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0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2014-04-30T09:42:00Z</dcterms:created>
  <dcterms:modified xsi:type="dcterms:W3CDTF">2014-04-30T09:42:00Z</dcterms:modified>
</cp:coreProperties>
</file>