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bookmarkStart w:id="0" w:name="a10"/>
      <w:bookmarkEnd w:id="0"/>
      <w:r w:rsidRPr="00790949">
        <w:rPr>
          <w:rFonts w:ascii="細明體" w:eastAsia="細明體" w:hAnsi="細明體" w:cs="新細明體" w:hint="eastAsia"/>
          <w:color w:val="333399"/>
          <w:kern w:val="0"/>
          <w:szCs w:val="24"/>
        </w:rPr>
        <w:t> 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三自性與三無性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三自性，即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，依他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起性，圓成實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性。此三自性，為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唯識宗一切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法義的根本。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唐義淨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三藏撰 &lt;南海寄歸內法傳&gt; ，有云：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相宗以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三性為宗」 。法相宗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以唯識為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中道，中道者，即是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正顯非空非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簡遮偏空偏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有之謂。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行者審觀一切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法，無一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法偏於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有，亦無一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法偏於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空，無不具備中道妙理。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此若約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橫向而觀，即是三自性。 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 一切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法相品謂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&gt; 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謂諸法相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略有三種，何等為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，一者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，二者依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，三者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。」 此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中的相字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，在此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作性字解釋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。在三自性中，以依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他起性為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中心。諸法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皆仗因托緣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而起，有情於此因緣和合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的假法上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，若執著計較，認為是實我、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實法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； 有情在依他起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的假法上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，了知諸法緣起，「緣起性空」，諸法皆無實性，這就是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性。若換一個方式表達，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，是有情在依他起法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上假立名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相而起的。這本是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情識上的妄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，而有情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於此假立的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名相上執著計較，這就是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，諸法是因緣 (眾多因條件) 和合而有的，如以水、土和泥而成瓶缽，這是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因緣和合的假有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，本身沒有體性，所以是依他 (因緣) 起性。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，是依他起諸法的體性，具有圓滿、成就、實性三義，也就是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真如實性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。於此，分述三自性三無性如下。</w:t>
      </w:r>
    </w:p>
    <w:p w:rsidR="00DA1C6E" w:rsidRPr="00790949" w:rsidRDefault="00DF038A" w:rsidP="00790949">
      <w:pPr>
        <w:pStyle w:val="a3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before="100" w:beforeAutospacing="1" w:after="100" w:afterAutospacing="1"/>
        <w:ind w:leftChars="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三自性</w:t>
      </w:r>
    </w:p>
    <w:p w:rsidR="00DF038A" w:rsidRPr="00790949" w:rsidRDefault="00DF038A" w:rsidP="00790949">
      <w:pPr>
        <w:pStyle w:val="a3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before="100" w:beforeAutospacing="1" w:after="100" w:afterAutospacing="1"/>
        <w:ind w:leftChars="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如上所述，三自性，即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，依他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起性，圓成實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性。茲分述如下：</w:t>
      </w:r>
    </w:p>
    <w:p w:rsidR="00DA1C6E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一、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凡夫之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妄情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周遍計度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種種因緣生起之諸法，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執取為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實有，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曰遍計所執性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 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 一切法相品&gt; 曰：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何諸法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，謂一切法，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名假安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立，自性差別，乃至為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令隨起言說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]三十頌頌文稱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[由彼彼遍計，遍計種種物，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此遍計所執，自性無所有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。]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  &lt;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成唯識論&gt; 卷八，解釋此頌曰：  [周遍計度，故名遍計，品類眾多，故名彼彼。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謂能遍計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，虛妄分別。即由彼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虛妄分別，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遍計種種所遍計物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，謂所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、處、界等，若我、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若法自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性差別，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總名遍計所執性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。如是自性，都無所有，理、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教推徵不可得故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]釋文意謂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： 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一般人把世間事事物物，都認為是實有，妄執五蘊、十二處、十八界為實我、實法，因而周遍計度。實則這一切都是「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變」，是有情的虛妄分別所造成的，此謂之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十大論師對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以上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頌的解說並不一致，難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陀分遍計所執性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為能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遍計與所遍計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兩門； 而護法、安慧則分為能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遍計、所遍計、遍計所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執三門。難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陀以上頌的首句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是明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，其餘三句是明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。所謂 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遍計種種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物&gt; 者，就是實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我實法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； 而護法、安慧則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上頌首句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是名能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遍計，次句是明遍計所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執之境，而三四句是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說遍計所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執的實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我實法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、都是無體性之法。茲分述如下：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1、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而言，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稱能遍計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。三十頌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頌文曰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[由彼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彼遍計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」，指的即是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識。「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遍計種種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物」是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之境。而「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此遍計所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執，自性無所有」 ，即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。對於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識，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家解釋不同，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無著認為第六意識是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能遍計之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識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，故 &lt;攝大乘論&gt; 謂：  [當知意識是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，有分別故。」而安慧認為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八個識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都有「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」的作用。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護法、難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二師認為，只有第六第七兩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識是 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能遍計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」之識。一般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以此說為正義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="00DA1C6E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2、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執之法，虛妄的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分別心識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所緣境周遍計度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分別執為實我實法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，此被分別的事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事物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物，即是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 &lt;成唯識論述記&gt; 九曰：  [此即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心外非有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法也，即是由有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能計心體計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有物也。」 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所遍計並不是說心識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之外有實境，而是此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能遍計之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心，誤將幻有的事物當作真實。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二、 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依他起之「他」，指因緣而言。即依因緣而生起之萬法，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曰依他起性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 一切法相品」謂：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何諸法依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謂一切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法緣生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自性，則此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有故彼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有，此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生故彼生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謂無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明緣行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乃至招集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純大苦蘊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緣生即是因緣生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，因緣有四，名之曰「四緣」。即因緣、等無間緣、所緣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、增上緣。換言之，因緣即是第八識的種子。三十頌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頌文曰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[依他起自性，分別緣所生。]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  &lt;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成唯識論&gt; 卷八解釋曰：  [眾緣所生心、心所體，及相見分，有漏、無漏，皆依他起，依他眾緣而得起故。」 此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中眾緣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，即指四緣而說。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唯識家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以「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萬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lastRenderedPageBreak/>
        <w:t>法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唯識，識外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無境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」立論，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故客觀的萬法，皆是主觀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心識所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變的幻影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 &lt;成唯識論&gt; 卷八稱：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眾緣所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引自心、心所虛妄變現，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猶如幻事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、陽焰、夢境、光影、谷響、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水月變化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所成，非有似有。]</w:t>
      </w:r>
    </w:p>
    <w:p w:rsidR="00DA1C6E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三、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性：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此為空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煩惱、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所知二障而顯的真理，亦即諸法真實的體性。此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亦名真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如、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實相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、法界、法性、皆同體而異名，為圓滿成就諸法功德之實性，故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名圓成實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 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 一切法相品&gt; 曰：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何諸法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，謂一切法平等真如。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&lt;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成唯識論&gt; 曰：  [二空所顯圓滿成就諸法實性，名圓成實。」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又曰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實相真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如，謂無二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我所顯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。」故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我空、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法空所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顯示的諸法真實的性質，就是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性。</w:t>
      </w:r>
      <w:r w:rsidR="00DA1C6E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三十頌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頌文曰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於彼，常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遠離前性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。」也即是說，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在依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他起性上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恒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常脫離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二、  三無性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無性，即相無性、生無性、勝義無性。這三無性是依三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自性安立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的。 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、無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自性品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&gt; 謂：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[汝應諦聽吾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當為汝解釋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所說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一切諸法皆無自性無生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無滅本來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寂靜自性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涅槃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所有密意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勝義生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，當知我依三種無自性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性密意所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言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一切諸法皆無自性，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所謂相無自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，生無自性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，勝義無自性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三無自性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，如上經文所說。釋迦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世尊以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世間有情，對一切事物皆執有實在的自性，為破除這種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故密意方便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，說一切法皆無自性。這是以此三種藥，對治三種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執之病，不是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說連依圓的法體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也是空無的。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密意者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，是不顯了的意思。換言之，說三無性者，是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不了義教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。三十頌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頌文謂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[即依此三性，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立彼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三無性，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故佛密意說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，一切法無性。」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茲先說明三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無性如下：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一、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相無性：此是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而安立的，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以遍計所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執之法假名安立，故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說相無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此謂一切眾生，以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心於因緣所生之事物，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計度有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我有法的我相法相，這就成了我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執與法執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，亦即是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執之法，如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見繩誤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以為是蛇，而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心識浮起蛇相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，其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相非實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有，因此名曰「相無性」。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相無性在說明我、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法體相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，有如鏡花水月，虛幻不實，眾生所以認為有實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我實法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，是由事物的虛假名字而安立的，並沒有真實的體性。 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&gt; 曰：「善男子，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云何諸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法相無自性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，謂諸法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遍計所執相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，何以故，此由假名安立為相，非由自相安立為相，是故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說明相無自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。]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二、 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生無性：此是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依依他起性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而安立的。即一切諸法，由於仗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因托緣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而生起，謂之依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。此依他起之法既由因緣和合而有，則「緣起性空」，其無實性可知，其中並無實體，故名生無性。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&gt; 曰：「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何諸法生無自性，謂諸法依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，何以故，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由依他緣力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故有非自然有，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是故說名生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三、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勝義無自性：此是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性而安立的。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性即是真如，真如為圓為常，為一切有為法的實性，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是絕待的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、永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恒的理體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，為我、法二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空所顯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，自然沒有自性。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 &lt;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解深密經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&gt; 曰：  [復有諸法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圓成實相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、亦名勝義無自性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，何以故，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一切諸法、法無我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為勝義，亦得名為無自性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，是一切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法勝義諦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故、無自性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之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所顯故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，由此因緣名為勝義無自性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。]</w:t>
      </w:r>
      <w:r w:rsidR="00DA1C6E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   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唯識宗立三自性三無性，目的在於顯示非空非有的「唯識中道」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而唯識中道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的理論根據，係建立在 &lt;辯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中邊論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&gt;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兩首頌上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頌文是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  [虛妄分別有，於此二都無，此中唯有空，於彼亦有此。故說一切法，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不空，有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無及有故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中道。]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以上頌文的意思是說： 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能取者是眼、耳、鼻、舌、身、意六識，所取者是色、聲、香、味、觸、法六境，而此兩者，都是由於識的虛妄分別上而有，實際上這二者都是無，能取和所取都是空。而在此空中，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是以識的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虛妄分別而有。因此一切事物，有為無為，不是沒有，故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稱非空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； 也不是有，故稱非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lastRenderedPageBreak/>
        <w:t>不空。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不空，就是中道。</w:t>
      </w:r>
      <w:r w:rsidR="00DA1C6E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&lt;成唯識論&gt; 卷七曰：  [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我、法非有，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空識非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無，離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有離無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，故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契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中道。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]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唯識中道有一特點，即是和三自性、三無性結合在一起。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唯識家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以為，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世間萬法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——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一切事物中都有三自性，一切事物中也都有三無性，三自性說明有 (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) ，三無性說明空 (非有) ，所以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唯識家把唯識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的終極道理，歸之於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有的中道。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唯識中道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，有三性各具中道與三性對望中道二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義：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一、 三性各具中道：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唯識中道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，是建立在三自性與三無性的基礎上。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即一切法的每一法，各具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有二義。即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遍計所執性，情有故非空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，理</w:t>
      </w:r>
      <w:r w:rsidR="00082187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故非</w:t>
      </w:r>
      <w:r w:rsidR="00082187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； 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如幻故非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有，假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有故非空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； 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性，真空故非有，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妙有故非空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。以此、則一一法上，各具三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有中道。此名三性各具中道，亦名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性中道。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二、 三性對望中道：三性對望中道，亦是建立在遍、依、圓三性上。在三性之中，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，是我人的虛妄分別，顯現於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妄情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上情有理無的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法。依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，是仗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因托緣生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起，雖無體性，卻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有相用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，這是假有實無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的假法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性，是諸法的體性，這是實有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相無的實法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。所以在三性之中，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空，依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他圓成是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有，空有對望，則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非空非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有。而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真空妙有之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中道亦由此而建立。此名三性對望中道，亦稱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法中道。三性為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唯識宗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立論的根本，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唯識宗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以一切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離心為義，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 &lt;成唯識論&gt; 卷八曰：  [三種自性，皆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離心、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心所法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謂心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、心所及所變現，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眾緣生故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如幻事等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非有似有，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誑惑愚夫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一切皆名依他起性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；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愚夫於此橫執我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法、有無、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異、俱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不俱等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，如空華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等性相都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無，一切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皆名遍計所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執； 依他起上，彼所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執我、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法俱空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，此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空所顯識等真性名圓成實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。是故此三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離心等。]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三、  釋違教難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由彼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彼遍計，遍計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種種物，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此遍計所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執，自性無所有。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依他起自性，分別緣所生，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於彼，常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遠離前性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故此與依他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非異非不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異，如無常等性，非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不見此彼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即依此三性，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立彼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三無性，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故佛密意說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，一切法無性。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初即相無性，次無自然性，後由遠離前，所執我法性。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前面說明三自性及三無性，於此再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依頌文，詮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解「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釋違教難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」。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茲先解釋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「若沒有境，則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教說的三種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自性即不能成立」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的問難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；繼而再解釋「若沒有識，則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教說的三種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無性即不能成立」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的問難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釋違教難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，是解釋外人對於違背教理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的問難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所謂問難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，就是外人的質問，外人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繼違理問難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後，又繼續質問曰：「照你們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唯識家說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唯有內識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，沒有外境。如果這樣，則依他起的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性就夠了，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為什麼聖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教中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處處說有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三自性？」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唯識家解答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說：「應知三自性亦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不離識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」 。為什麼呢？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唯識家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以上列五頌的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前三頌答之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頌文的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初二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頌正辨三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性，次一頌前三句，明三性的不一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異，末一句明依他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圓成證得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的前後。後二頌明三無性。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分釋如下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</w:t>
      </w:r>
      <w:r w:rsidR="00DA1C6E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一、 由彼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彼遍計，遍計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種種物，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此遍計所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執，自性無</w:t>
      </w:r>
      <w:r w:rsidR="000E37A7"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所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有：此是明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能遍計的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虛妄分別，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、即是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周遍計度，遍緣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一切境界，又計較推度是我是法。彼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彼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者，這個能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遍計心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的品類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眾多，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故說彼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彼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。「種種物」，即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所遍計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之境，如實我、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實法等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。這種若我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若法的遍計所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執，並沒有實在的體性，故說：「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執，自性無</w:t>
      </w:r>
      <w:r w:rsidR="000E37A7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有。]</w:t>
      </w:r>
      <w:r w:rsidR="00DA1C6E"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  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二、 依他起自性，分別緣所生：依他起的他，指的就因緣。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是說色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、心諸法，仗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因托緣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方得生起，故名依他起。色、心諸法生起的因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lastRenderedPageBreak/>
        <w:t>緣有四，就是親因緣、等無間緣、所緣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緣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、增上緣。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色法生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起，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須籍親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因緣及增上緣二種，心法生起，須四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緣俱足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，方始現行。因此，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說色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、心諸法生起，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及心體所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起見、相二分，都是依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。「分別」即是虛妄分別，也就是有漏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的雜染諸法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。有義，分別即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是緣慮的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異名，即依他諸法，是由分別的心、心所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及眾緣所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生起，所謂「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唯識所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現，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眾緣所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生」 者是。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三、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於彼，常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遠離前性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三字，具有圓滿、成就、真實三義。但所謂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，不是在依他起之外另有一個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，而是在依他起諸法上，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恒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常遠離前面所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說的遍計所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執，便是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了；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反之，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若於依他起法起種種實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我實法執著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，就是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遍計所執了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四、 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故此與依他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非異非不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異，如無常等性：此三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句頌文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重點，在說明依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他起與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圓成實之間，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既「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非異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」亦「非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異」之理。因為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性，既然是在依他起諸法上，遠離前面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執，就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不能說這兩者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是「異」。但這兩者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之間，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也非 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異」。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何以故呢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？如經中常說無常無我，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色法是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無常，乃至受、想、行、識亦是無常。這無常法性，遍及於一切法上。因此，無常與一切法是「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非異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」；但就總相說雖然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異，而萬法各有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其別相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，總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相別相迥然不同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，故又 「非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異」。因此，依他起與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若說是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「異」，離開了依他起，就不能顯現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的法性；若說「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異」，那麼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於依他起，豈不是成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了生滅之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法？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000000" w:themeColor="text1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五、 非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不見此彼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：此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句頌文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，是明證見依他起與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的先後。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「此」指依他起，[彼」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指圓成實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。「見」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者證見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，意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謂非不見彼圓成實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性、而能見此依他起也。換言之，必先以我法二空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的觀智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 (根本智) 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證見圓成實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此際已斷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除我法二執 (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執) ，至此始 (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以後得智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) 了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達如幻如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化的依他起。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 xml:space="preserve"> &lt;成唯識論&gt; 曰：  [非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不證見圓成實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性、而能見此依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。]</w:t>
      </w:r>
    </w:p>
    <w:p w:rsidR="00DF038A" w:rsidRPr="00790949" w:rsidRDefault="00DF038A" w:rsidP="00790949">
      <w:pPr>
        <w:widowControl/>
        <w:shd w:val="clear" w:color="auto" w:fill="FFFFFF"/>
        <w:adjustRightInd w:val="0"/>
        <w:snapToGrid w:val="0"/>
        <w:spacing w:before="100" w:beforeAutospacing="1" w:after="100" w:afterAutospacing="1"/>
        <w:ind w:firstLine="480"/>
        <w:rPr>
          <w:rFonts w:ascii="標楷體" w:eastAsia="標楷體" w:hAnsi="標楷體" w:cs="新細明體"/>
          <w:b/>
          <w:color w:val="C00000"/>
          <w:kern w:val="0"/>
          <w:szCs w:val="24"/>
        </w:rPr>
      </w:pP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六、 初即相無性，次無自然性，後由遠離前，所執我法性：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頌文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「初即相無性」句，是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依遍計所執性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而立的。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執只是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妄情計度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，並沒有實在的體相。這有如空華，只是現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於病目之前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，實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無其體相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</w:t>
      </w:r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「次無自然性」 句，是</w:t>
      </w:r>
      <w:proofErr w:type="gramStart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依依他起性</w:t>
      </w:r>
      <w:proofErr w:type="gramEnd"/>
      <w:r w:rsidRPr="00790949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而立的。</w:t>
      </w:r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依他起諸法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是眾緣和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合而生，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既待緣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而生，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則緣生性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空，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故曰生無性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。「後由遠離前，所執我法性」二句，是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依圓成實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性而立的，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此即勝義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無自性。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圓成實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性是遠離前面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遍計所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 xml:space="preserve">執 (我法二執) 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所顯的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真理，此真理離一切相，畢竟皆空，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故曰無自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性。無自性即是性空，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亦曰空性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，</w:t>
      </w:r>
      <w:proofErr w:type="gramStart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實則空性就是</w:t>
      </w:r>
      <w:proofErr w:type="gramEnd"/>
      <w:r w:rsidRPr="00790949">
        <w:rPr>
          <w:rFonts w:ascii="標楷體" w:eastAsia="標楷體" w:hAnsi="標楷體" w:cs="新細明體" w:hint="eastAsia"/>
          <w:b/>
          <w:color w:val="C00000"/>
          <w:kern w:val="0"/>
          <w:szCs w:val="24"/>
        </w:rPr>
        <w:t>真如</w:t>
      </w:r>
    </w:p>
    <w:p w:rsidR="0088153C" w:rsidRPr="00790949" w:rsidRDefault="0088153C" w:rsidP="00790949">
      <w:pPr>
        <w:adjustRightInd w:val="0"/>
        <w:snapToGrid w:val="0"/>
        <w:rPr>
          <w:rFonts w:ascii="標楷體" w:eastAsia="標楷體" w:hAnsi="標楷體"/>
          <w:b/>
          <w:color w:val="000000" w:themeColor="text1"/>
          <w:szCs w:val="24"/>
        </w:rPr>
      </w:pPr>
      <w:bookmarkStart w:id="1" w:name="_GoBack"/>
      <w:bookmarkEnd w:id="1"/>
    </w:p>
    <w:sectPr w:rsidR="0088153C" w:rsidRPr="00790949" w:rsidSect="0079094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F6138"/>
    <w:multiLevelType w:val="hybridMultilevel"/>
    <w:tmpl w:val="A8F8E1F2"/>
    <w:lvl w:ilvl="0" w:tplc="3934CF28">
      <w:start w:val="1"/>
      <w:numFmt w:val="taiwaneseCountingThousand"/>
      <w:lvlText w:val="%1、"/>
      <w:lvlJc w:val="left"/>
      <w:pPr>
        <w:ind w:left="103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8A"/>
    <w:rsid w:val="00082187"/>
    <w:rsid w:val="000E37A7"/>
    <w:rsid w:val="00790949"/>
    <w:rsid w:val="00825036"/>
    <w:rsid w:val="0088153C"/>
    <w:rsid w:val="008A7653"/>
    <w:rsid w:val="00D60100"/>
    <w:rsid w:val="00DA1C6E"/>
    <w:rsid w:val="00DF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F038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038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F038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DF038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DF038A"/>
  </w:style>
  <w:style w:type="paragraph" w:styleId="a3">
    <w:name w:val="List Paragraph"/>
    <w:basedOn w:val="a"/>
    <w:uiPriority w:val="34"/>
    <w:qFormat/>
    <w:rsid w:val="00DA1C6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A1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A1C6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F038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038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F038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DF038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DF038A"/>
  </w:style>
  <w:style w:type="paragraph" w:styleId="a3">
    <w:name w:val="List Paragraph"/>
    <w:basedOn w:val="a"/>
    <w:uiPriority w:val="34"/>
    <w:qFormat/>
    <w:rsid w:val="00DA1C6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A1C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A1C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1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USER</cp:lastModifiedBy>
  <cp:revision>3</cp:revision>
  <cp:lastPrinted>2014-03-10T03:09:00Z</cp:lastPrinted>
  <dcterms:created xsi:type="dcterms:W3CDTF">2014-03-19T14:58:00Z</dcterms:created>
  <dcterms:modified xsi:type="dcterms:W3CDTF">2014-03-21T14:44:00Z</dcterms:modified>
</cp:coreProperties>
</file>