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今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說欲界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中自有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三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一麤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住心。二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細住心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。三證欲界定。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一麤住相者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。因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前息道諸方便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修習。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心漸虛凝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。不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復緣慮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。名為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麤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住。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細住相者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。於後其心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泯泯轉細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。即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是細住心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。當得此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麤細住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時。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或將得時。必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有持身法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起。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此法發時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。身心自然正直。坐不疲倦。如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物持身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。若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好持身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。但微微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扶助身力而已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。若是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麤持身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者。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堅急勁強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。來則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苦急堅強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。去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則寬緩困人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此非好法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心既細已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於覺心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自然明淨。與定相應。定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法持心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任運不動從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淺入深。或經一坐無分散意。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所以說此名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欲界定。入此定時。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欲界報身相未盡故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。二明得失者。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入欲界定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法心既淺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。未有支持。難得易失。易失因緣。是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事須識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失定有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二種。一從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外緣失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謂得定時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。不善用心。內外方便。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中途違犯。則退失禪定。復次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若行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者當得定時。或向人說。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或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現定相令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他知覺。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或卒有事緣相壞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。如是等種種外事。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於中不覺不識。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障法既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生則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便失定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。若能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將護本得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不失。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障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不得生。故名為得。二者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約內論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得失者。有六種法。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能失禪定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一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希望心。二疑心。三驚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怖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。四大喜。五重愛。六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憂悔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未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得禪有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一。謂希望心。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入禪有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四。謂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疑怖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喜愛。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出禪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</w:rPr>
        <w:br/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多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有憂悔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。此則能破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定心令退失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。若通論此六皆得在未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入住出中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俱有此六法。能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退失定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若能離此六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法。即易得定。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以不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失故名得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也。此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雖近事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。若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不說者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。則人不知。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lastRenderedPageBreak/>
        <w:t>若善取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其意。則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知遮障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EAE49E"/>
        </w:rPr>
        <w:t>二明證未到</w:t>
      </w:r>
      <w:proofErr w:type="gramStart"/>
      <w:r w:rsidRPr="00EF70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EAE49E"/>
        </w:rPr>
        <w:t>地定相</w:t>
      </w:r>
      <w:proofErr w:type="gramEnd"/>
      <w:r w:rsidRPr="00EF70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EAE49E"/>
        </w:rPr>
        <w:t>。</w:t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因此欲界定。後身心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泯然虛豁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。失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於欲界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之身。坐中不見頭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手床敷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。猶若虛空。此是未到地定。所言未到地者。</w:t>
      </w:r>
    </w:p>
    <w:p w:rsidR="00EF7011" w:rsidRDefault="00EF7011">
      <w:pPr>
        <w:rPr>
          <w:rFonts w:ascii="Times New Roman" w:hAnsi="Times New Roman" w:cs="Times New Roman" w:hint="eastAsia"/>
          <w:b/>
          <w:color w:val="282800"/>
          <w:sz w:val="28"/>
          <w:szCs w:val="28"/>
          <w:shd w:val="clear" w:color="auto" w:fill="EAE49E"/>
        </w:rPr>
      </w:pP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此地能生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初禪故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。即是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初禪方便定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亦名未來禪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亦名忽然湛心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</w:p>
    <w:p w:rsidR="001F5984" w:rsidRPr="00EF7011" w:rsidRDefault="00EF7011">
      <w:pPr>
        <w:rPr>
          <w:b/>
          <w:sz w:val="28"/>
          <w:szCs w:val="28"/>
        </w:rPr>
      </w:pPr>
      <w:bookmarkStart w:id="0" w:name="_GoBack"/>
      <w:bookmarkEnd w:id="0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證此定時。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不無淺深之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相。今不具明。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復次此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等定中。或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有邪偽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。行者應證。其相非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一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略出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二事。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一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定心過明。二者過暗。並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是邪定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明者入定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時。見外境界青黃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赤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白。或見日月星辰宮殿等事。</w:t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</w:rPr>
        <w:br/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或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一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時日乃至七日不出禪定。見一切事。如得神通。此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為邪。當急去之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。二者若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入此定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暗忽無所覺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知。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如眠熟不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異。即是無心想法。</w:t>
      </w:r>
      <w:r>
        <w:rPr>
          <w:rFonts w:ascii="Times New Roman" w:hAnsi="Times New Roman" w:cs="Times New Roman" w:hint="eastAsia"/>
          <w:b/>
          <w:color w:val="282800"/>
          <w:sz w:val="28"/>
          <w:szCs w:val="28"/>
        </w:rPr>
        <w:t>能</w:t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</w:rPr>
        <w:br/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令行人生顛倒心。當急卻之。此則略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說邪定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之相。是中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妨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難。非可具以文傳。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復次若依成論毘曇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。分別二定。為不便也。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今依尊者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瞿沙</w:t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</w:rPr>
        <w:br/>
      </w:r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所明。分別二定有異。亦應無失。具如前引摩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訶衍中釋。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而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多見坐人證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定之時。實有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兩種定相不同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。是故今</w:t>
      </w:r>
      <w:proofErr w:type="gramStart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說欲界</w:t>
      </w:r>
      <w:proofErr w:type="gramEnd"/>
      <w:r w:rsidRPr="00EF7011">
        <w:rPr>
          <w:rFonts w:ascii="Times New Roman" w:hAnsi="Times New Roman" w:cs="Times New Roman"/>
          <w:b/>
          <w:color w:val="282800"/>
          <w:sz w:val="28"/>
          <w:szCs w:val="28"/>
          <w:shd w:val="clear" w:color="auto" w:fill="EAE49E"/>
        </w:rPr>
        <w:t>未到二定各異。</w:t>
      </w:r>
    </w:p>
    <w:sectPr w:rsidR="001F5984" w:rsidRPr="00EF70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11"/>
    <w:rsid w:val="001F5984"/>
    <w:rsid w:val="00EF7011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 Wang</dc:creator>
  <cp:lastModifiedBy>Wonderful Wang</cp:lastModifiedBy>
  <cp:revision>1</cp:revision>
  <dcterms:created xsi:type="dcterms:W3CDTF">2014-01-13T12:10:00Z</dcterms:created>
  <dcterms:modified xsi:type="dcterms:W3CDTF">2014-01-13T12:21:00Z</dcterms:modified>
</cp:coreProperties>
</file>